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334</w:t>
      </w:r>
      <w:r>
        <w:rPr>
          <w:rFonts w:hint="eastAsia" w:ascii="宋体" w:hAnsi="宋体" w:cs="宋体"/>
          <w:b/>
          <w:bCs/>
          <w:sz w:val="28"/>
          <w:szCs w:val="28"/>
        </w:rPr>
        <w:t>《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新闻与传播专业综合能力</w:t>
      </w:r>
      <w:r>
        <w:rPr>
          <w:rFonts w:hint="eastAsia" w:ascii="宋体" w:hAnsi="宋体" w:cs="宋体"/>
          <w:b/>
          <w:bCs/>
          <w:sz w:val="28"/>
          <w:szCs w:val="28"/>
        </w:rPr>
        <w:t>》考试大纲</w:t>
      </w:r>
    </w:p>
    <w:p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第一章</w:t>
      </w:r>
      <w:r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媒介与社会</w:t>
      </w:r>
    </w:p>
    <w:p>
      <w:pPr>
        <w:widowControl/>
        <w:snapToGrid w:val="0"/>
        <w:spacing w:line="360" w:lineRule="exact"/>
        <w:jc w:val="left"/>
        <w:rPr>
          <w:rFonts w:ascii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传播的含义与类型、传播过程与传播模式、传播的五个关键要素、传播媒介的界定、传播媒介的类型、媒介的社会功能、守望与预警的功能、协调与商讨的功能、传承与教化的功能、娱乐与商业的功能、媒介的社会影响、媒介与政治舆论、媒介与经济发展、媒介与社会文化、媒介与国际关系、媒介的效果与效果理论、效果与效果研究、媒介与说服、媒介与议程、媒介与教养、社会中的媒介、社会制度与媒介环境、学技术与媒介发展</w:t>
      </w:r>
    </w:p>
    <w:p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第二章</w:t>
      </w:r>
      <w:r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媒介的形态与发展</w:t>
      </w:r>
    </w:p>
    <w:p>
      <w:pPr>
        <w:widowControl/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媒介形态的历史沿革、口语传播、书写传播、印刷传播、电子传播、数字多媒体传播、媒介形态沿革的规律与特征、传统媒介及其传播特征、报纸及其传播特点、广播及其传播特点、电视及其传播特点、互联网及其传播特征、数字技术与新媒体、网络传播的媒介特征、网络传播的主要类型、网络中的人际传播、网络中的群体传播、网络中的组织传播、网络中的大众传播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第三章</w:t>
      </w:r>
      <w:r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媒介内容生产</w:t>
      </w:r>
    </w:p>
    <w:p>
      <w:pPr>
        <w:widowControl/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媒介内容生产的外部环境、媒介制度、媒介制度及其功能、媒介制度的类型、媒介产业、作为产业的媒介业、媒介产业的特点、媒介产业的全球化、媒介组织、</w:t>
      </w:r>
      <w:r>
        <w:rPr>
          <w:rFonts w:ascii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媒介组织的类型、媒介组织的结构、媒介组织的管理、媒介内容生产的流程、报纸的生产、报纸的选题与策划、报纸的采访与编辑、报纸的版面设计、报纸的出版发行、广播电视节目的生产、广播电视节目的策划、广播电视节目的采制和播出、广播电视节目的栏目化与频道化、网络媒体的内容生产、网络媒体平台的设计与维护、网络媒体内容的采制和编辑、媒介融合时代的内容生产、媒介融合与全媒体传播、媒介融合对媒介内容生产的影响、媒介组织结构的调整与生产流程的改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left"/>
        <w:rPr>
          <w:rFonts w:ascii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第四章</w:t>
      </w:r>
      <w:r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color w:val="333333"/>
          <w:kern w:val="0"/>
          <w:sz w:val="24"/>
          <w:szCs w:val="24"/>
        </w:rPr>
        <w:t>媒介伦理与法规</w:t>
      </w:r>
    </w:p>
    <w:p>
      <w:pPr>
        <w:widowControl/>
        <w:snapToGrid w:val="0"/>
        <w:spacing w:line="360" w:lineRule="exact"/>
        <w:jc w:val="left"/>
        <w:rPr>
          <w:rFonts w:ascii="宋体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媒介伦理知识、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szCs w:val="24"/>
        </w:rPr>
        <w:t>媒介伦理概述、媒介伦理的理论渊源、媒介伦理的一般原则、媒介伦理的失范、有偿新闻与新闻敲诈、媒介管理中的寻租腐败、媒介内容中的歧视与偏见、媒介内容中的文化与道德问题、媒介法规与政策、媒介与公共生活的法规控制、媒介与国家安全：煽动、泄密、危害统一、媒介与社会秩序：谣言、暴力、色情、媒介与权利、媒介与人格权利：名誉、隐私、肖像、媒介与著作权利：侵权、赔偿、媒介与言论权利：表达自由、隐性采访、信息公开、媒介产业的政策与法规、报刊业管理规制、广播电视业管理规制、互联网行业管理规制、媒介行业的自律与他律</w:t>
      </w:r>
    </w:p>
    <w:p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</w:rPr>
        <w:t>新闻与传播硕士</w:t>
      </w:r>
      <w:r>
        <w:rPr>
          <w:rFonts w:hint="eastAsia" w:ascii="宋体" w:hAnsi="宋体" w:cs="宋体"/>
          <w:b/>
          <w:bCs/>
          <w:color w:val="000000"/>
          <w:kern w:val="0"/>
        </w:rPr>
        <w:t>主要参考书目：</w:t>
      </w:r>
      <w:r>
        <w:rPr>
          <w:rFonts w:ascii="宋体" w:hAnsi="宋体" w:cs="宋体"/>
          <w:b/>
          <w:bCs/>
          <w:color w:val="000000"/>
          <w:kern w:val="0"/>
        </w:rPr>
        <w:t xml:space="preserve"> </w:t>
      </w:r>
    </w:p>
    <w:p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李良荣：《新闻学概论》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hint="eastAsia" w:ascii="宋体" w:hAnsi="宋体" w:cs="宋体"/>
          <w:color w:val="000000"/>
          <w:kern w:val="0"/>
        </w:rPr>
        <w:t>复旦大学出版社，</w:t>
      </w:r>
      <w:r>
        <w:rPr>
          <w:rFonts w:ascii="宋体" w:hAnsi="宋体" w:cs="宋体"/>
          <w:color w:val="000000"/>
          <w:kern w:val="0"/>
        </w:rPr>
        <w:t>201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ascii="宋体" w:hAnsi="宋体" w:cs="宋体"/>
          <w:color w:val="000000"/>
          <w:kern w:val="0"/>
        </w:rPr>
        <w:t xml:space="preserve">) </w:t>
      </w:r>
    </w:p>
    <w:p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郭庆光：《传播学教程》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hint="eastAsia" w:ascii="宋体" w:hAnsi="宋体" w:cs="宋体"/>
          <w:color w:val="000000"/>
          <w:kern w:val="0"/>
        </w:rPr>
        <w:t>中国人民大学出版社，</w:t>
      </w:r>
      <w:r>
        <w:rPr>
          <w:rFonts w:ascii="宋体" w:hAnsi="宋体" w:cs="宋体"/>
          <w:color w:val="000000"/>
          <w:kern w:val="0"/>
        </w:rPr>
        <w:t xml:space="preserve">2011) </w:t>
      </w:r>
    </w:p>
    <w:p>
      <w:pPr>
        <w:widowControl/>
        <w:snapToGrid w:val="0"/>
        <w:spacing w:line="360" w:lineRule="exact"/>
        <w:jc w:val="left"/>
        <w:rPr>
          <w:rFonts w:ascii="宋体"/>
          <w:color w:val="000000"/>
          <w:spacing w:val="-6"/>
          <w:kern w:val="0"/>
        </w:rPr>
      </w:pPr>
      <w:r>
        <w:rPr>
          <w:rFonts w:hint="eastAsia" w:ascii="宋体" w:hAnsi="宋体" w:cs="宋体"/>
          <w:color w:val="000000"/>
          <w:spacing w:val="-6"/>
          <w:kern w:val="0"/>
        </w:rPr>
        <w:t>丁柏铨：《新闻采访与写作》</w:t>
      </w:r>
      <w:r>
        <w:rPr>
          <w:rFonts w:ascii="宋体" w:hAnsi="宋体" w:cs="宋体"/>
          <w:color w:val="000000"/>
          <w:spacing w:val="-6"/>
          <w:kern w:val="0"/>
        </w:rPr>
        <w:t>(</w:t>
      </w:r>
      <w:r>
        <w:rPr>
          <w:rFonts w:hint="eastAsia" w:ascii="宋体" w:hAnsi="宋体" w:cs="宋体"/>
          <w:color w:val="000000"/>
          <w:spacing w:val="-6"/>
          <w:kern w:val="0"/>
        </w:rPr>
        <w:t>高等教育出版社，</w:t>
      </w:r>
      <w:r>
        <w:rPr>
          <w:rFonts w:ascii="宋体" w:hAnsi="宋体" w:cs="宋体"/>
          <w:color w:val="000000"/>
          <w:spacing w:val="-6"/>
          <w:kern w:val="0"/>
        </w:rPr>
        <w:t>20</w:t>
      </w:r>
      <w:r>
        <w:rPr>
          <w:rFonts w:hint="eastAsia" w:ascii="宋体" w:hAnsi="宋体" w:cs="宋体"/>
          <w:color w:val="000000"/>
          <w:spacing w:val="-6"/>
          <w:kern w:val="0"/>
          <w:lang w:val="en-US" w:eastAsia="zh-CN"/>
        </w:rPr>
        <w:t>14</w:t>
      </w:r>
      <w:r>
        <w:rPr>
          <w:rFonts w:ascii="宋体" w:hAnsi="宋体" w:cs="宋体"/>
          <w:color w:val="000000"/>
          <w:spacing w:val="-6"/>
          <w:kern w:val="0"/>
        </w:rPr>
        <w:t xml:space="preserve">) </w:t>
      </w:r>
    </w:p>
    <w:p>
      <w:pPr>
        <w:widowControl/>
        <w:spacing w:line="360" w:lineRule="exact"/>
        <w:jc w:val="left"/>
        <w:outlineLvl w:val="1"/>
        <w:rPr>
          <w:rFonts w:ascii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吴文虎：《新闻事业经营管理》（高等教育出版社，</w:t>
      </w:r>
      <w:r>
        <w:rPr>
          <w:rFonts w:ascii="宋体" w:hAnsi="宋体" w:cs="宋体"/>
          <w:color w:val="000000"/>
          <w:kern w:val="0"/>
        </w:rPr>
        <w:t>2010</w:t>
      </w:r>
      <w:r>
        <w:rPr>
          <w:rFonts w:hint="eastAsia" w:ascii="宋体" w:hAnsi="宋体" w:cs="宋体"/>
          <w:color w:val="000000"/>
          <w:kern w:val="0"/>
        </w:rPr>
        <w:t>）</w:t>
      </w:r>
      <w:r>
        <w:rPr>
          <w:rFonts w:ascii="宋体" w:hAnsi="宋体" w:cs="宋体"/>
          <w:color w:val="000000"/>
          <w:kern w:val="0"/>
        </w:rPr>
        <w:t xml:space="preserve"> </w:t>
      </w:r>
    </w:p>
    <w:p>
      <w:pPr>
        <w:spacing w:line="360" w:lineRule="exact"/>
        <w:jc w:val="left"/>
      </w:pPr>
      <w:r>
        <w:rPr>
          <w:rFonts w:hint="eastAsia" w:ascii="宋体" w:hAnsi="宋体" w:cs="宋体"/>
          <w:color w:val="000000"/>
          <w:kern w:val="36"/>
        </w:rPr>
        <w:t>魏永征：《新闻传播法教程》（中国人民大学出版社，</w:t>
      </w:r>
      <w:r>
        <w:rPr>
          <w:rFonts w:ascii="宋体" w:hAnsi="宋体" w:cs="宋体"/>
          <w:color w:val="000000"/>
          <w:kern w:val="36"/>
        </w:rPr>
        <w:t>201</w:t>
      </w:r>
      <w:r>
        <w:rPr>
          <w:rFonts w:hint="eastAsia" w:ascii="宋体" w:hAnsi="宋体" w:cs="宋体"/>
          <w:color w:val="000000"/>
          <w:kern w:val="36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36"/>
        </w:rPr>
        <w:t>）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D96"/>
    <w:rsid w:val="00014314"/>
    <w:rsid w:val="0001467C"/>
    <w:rsid w:val="00016A54"/>
    <w:rsid w:val="0003206B"/>
    <w:rsid w:val="0004219C"/>
    <w:rsid w:val="00051239"/>
    <w:rsid w:val="000519C2"/>
    <w:rsid w:val="00051F56"/>
    <w:rsid w:val="00060F71"/>
    <w:rsid w:val="00082F4D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A02B1"/>
    <w:rsid w:val="001E54D0"/>
    <w:rsid w:val="001E7815"/>
    <w:rsid w:val="001F1EF2"/>
    <w:rsid w:val="00237436"/>
    <w:rsid w:val="002415BD"/>
    <w:rsid w:val="00245E37"/>
    <w:rsid w:val="002567E4"/>
    <w:rsid w:val="00263637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1C30"/>
    <w:rsid w:val="00332CC2"/>
    <w:rsid w:val="00345E8D"/>
    <w:rsid w:val="003470D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6144"/>
    <w:rsid w:val="005D7D96"/>
    <w:rsid w:val="005E2F08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5D0D"/>
    <w:rsid w:val="007340C7"/>
    <w:rsid w:val="00736981"/>
    <w:rsid w:val="00741F61"/>
    <w:rsid w:val="00761FB8"/>
    <w:rsid w:val="007724F7"/>
    <w:rsid w:val="007829E9"/>
    <w:rsid w:val="0079496B"/>
    <w:rsid w:val="00795824"/>
    <w:rsid w:val="007F0613"/>
    <w:rsid w:val="0084433A"/>
    <w:rsid w:val="00863F06"/>
    <w:rsid w:val="00892CF0"/>
    <w:rsid w:val="008A5962"/>
    <w:rsid w:val="008F40FC"/>
    <w:rsid w:val="00920F7C"/>
    <w:rsid w:val="00934968"/>
    <w:rsid w:val="009463B5"/>
    <w:rsid w:val="00966C22"/>
    <w:rsid w:val="00981A4A"/>
    <w:rsid w:val="00994602"/>
    <w:rsid w:val="009A1189"/>
    <w:rsid w:val="009B623F"/>
    <w:rsid w:val="009C5146"/>
    <w:rsid w:val="009C7153"/>
    <w:rsid w:val="009D201D"/>
    <w:rsid w:val="00A0424F"/>
    <w:rsid w:val="00A104E6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E30AC"/>
    <w:rsid w:val="00AF1D0E"/>
    <w:rsid w:val="00AF67C4"/>
    <w:rsid w:val="00B00AF4"/>
    <w:rsid w:val="00B12625"/>
    <w:rsid w:val="00B32469"/>
    <w:rsid w:val="00B45479"/>
    <w:rsid w:val="00B62A5E"/>
    <w:rsid w:val="00B84541"/>
    <w:rsid w:val="00B95F9F"/>
    <w:rsid w:val="00BB092D"/>
    <w:rsid w:val="00C04E49"/>
    <w:rsid w:val="00C101D8"/>
    <w:rsid w:val="00C17291"/>
    <w:rsid w:val="00C23F59"/>
    <w:rsid w:val="00C70DA6"/>
    <w:rsid w:val="00C71DD1"/>
    <w:rsid w:val="00C737B8"/>
    <w:rsid w:val="00C935AF"/>
    <w:rsid w:val="00C978BA"/>
    <w:rsid w:val="00CA1853"/>
    <w:rsid w:val="00CA35F8"/>
    <w:rsid w:val="00CB1C2B"/>
    <w:rsid w:val="00CC2E25"/>
    <w:rsid w:val="00CD1CCA"/>
    <w:rsid w:val="00CD6955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A77D0"/>
    <w:rsid w:val="00DE0DBD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726F"/>
    <w:rsid w:val="00EC0DCA"/>
    <w:rsid w:val="00EC59D1"/>
    <w:rsid w:val="00F21BE0"/>
    <w:rsid w:val="00F335EF"/>
    <w:rsid w:val="00F46E79"/>
    <w:rsid w:val="00FB4118"/>
    <w:rsid w:val="00FB4DF6"/>
    <w:rsid w:val="00FD239D"/>
    <w:rsid w:val="00FF1E0A"/>
    <w:rsid w:val="718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168</Words>
  <Characters>963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2013-06-27T07:55:00Z</dcterms:created>
  <dc:creator>徐丽瑛</dc:creator>
  <cp:lastModifiedBy>向日葵</cp:lastModifiedBy>
  <cp:lastPrinted>2019-07-10T01:19:00Z</cp:lastPrinted>
  <dcterms:modified xsi:type="dcterms:W3CDTF">2021-08-30T08:15:11Z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5738E5AA92BA4D048EB0E91B323219A5</vt:lpwstr>
  </property>
</Properties>
</file>